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FF9D" w14:textId="3949D523" w:rsidR="00C8779A" w:rsidRPr="00C8779A" w:rsidRDefault="00C8779A" w:rsidP="00C8779A">
      <w:pPr>
        <w:jc w:val="center"/>
        <w:rPr>
          <w:b/>
          <w:sz w:val="44"/>
          <w:szCs w:val="44"/>
          <w:u w:val="single"/>
        </w:rPr>
      </w:pPr>
      <w:r w:rsidRPr="00C8779A">
        <w:rPr>
          <w:sz w:val="32"/>
          <w:szCs w:val="32"/>
        </w:rPr>
        <w:t>Income and Expenditure Statement</w:t>
      </w:r>
      <w:r w:rsidR="00CC6315">
        <w:rPr>
          <w:sz w:val="32"/>
          <w:szCs w:val="32"/>
        </w:rPr>
        <w:br/>
      </w:r>
      <w:r w:rsidRPr="00C8779A">
        <w:rPr>
          <w:b/>
          <w:sz w:val="44"/>
          <w:szCs w:val="44"/>
          <w:u w:val="single"/>
        </w:rPr>
        <w:t>All-Party Parliamentary Beer Group</w:t>
      </w:r>
    </w:p>
    <w:p w14:paraId="21F612DD" w14:textId="37484C6E" w:rsidR="00C8779A" w:rsidRDefault="00A43D51" w:rsidP="00C8779A">
      <w:pPr>
        <w:jc w:val="center"/>
      </w:pPr>
      <w:r>
        <w:t>24</w:t>
      </w:r>
      <w:r w:rsidRPr="00A43D51">
        <w:rPr>
          <w:vertAlign w:val="superscript"/>
        </w:rPr>
        <w:t>th</w:t>
      </w:r>
      <w:r>
        <w:t xml:space="preserve"> January</w:t>
      </w:r>
      <w:r w:rsidR="005B533E">
        <w:t xml:space="preserve"> 20</w:t>
      </w:r>
      <w:r w:rsidR="00A513EE">
        <w:t>2</w:t>
      </w:r>
      <w:r>
        <w:t>4</w:t>
      </w:r>
      <w:r w:rsidR="005C0515">
        <w:t xml:space="preserve"> </w:t>
      </w:r>
      <w:r w:rsidR="00C8779A">
        <w:t xml:space="preserve">to </w:t>
      </w:r>
      <w:r w:rsidR="009F7229">
        <w:t>3</w:t>
      </w:r>
      <w:r>
        <w:t>0th</w:t>
      </w:r>
      <w:r w:rsidR="005B533E">
        <w:t xml:space="preserve"> May 2</w:t>
      </w:r>
      <w:r w:rsidR="006F6B99">
        <w:t>02</w:t>
      </w:r>
      <w:r w:rsidR="009F7229">
        <w:t>4</w:t>
      </w:r>
    </w:p>
    <w:p w14:paraId="783E602E" w14:textId="77777777" w:rsidR="000C3F6B" w:rsidRDefault="000C3F6B" w:rsidP="00C8779A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8"/>
        <w:gridCol w:w="1508"/>
      </w:tblGrid>
      <w:tr w:rsidR="00C8779A" w14:paraId="7960BA8E" w14:textId="77777777" w:rsidTr="006F6B99">
        <w:tc>
          <w:tcPr>
            <w:tcW w:w="7508" w:type="dxa"/>
          </w:tcPr>
          <w:p w14:paraId="0BFCB1E3" w14:textId="77777777" w:rsidR="00C8779A" w:rsidRPr="000C3F6B" w:rsidRDefault="00C8779A" w:rsidP="00C8779A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0C3F6B">
              <w:rPr>
                <w:u w:val="single"/>
              </w:rPr>
              <w:t>Balance brought forward from previous year</w:t>
            </w:r>
          </w:p>
        </w:tc>
        <w:tc>
          <w:tcPr>
            <w:tcW w:w="1508" w:type="dxa"/>
          </w:tcPr>
          <w:p w14:paraId="6F67BA3D" w14:textId="6ADE2521" w:rsidR="00C8779A" w:rsidRDefault="00AA1F64" w:rsidP="008B7AC7">
            <w:pPr>
              <w:jc w:val="center"/>
            </w:pPr>
            <w:r w:rsidRPr="00AA1F64">
              <w:rPr>
                <w:b/>
                <w:color w:val="FF0000"/>
              </w:rPr>
              <w:t>-</w:t>
            </w:r>
            <w:r w:rsidR="00144327" w:rsidRPr="00AA1F64">
              <w:rPr>
                <w:b/>
                <w:color w:val="FF0000"/>
              </w:rPr>
              <w:t>£</w:t>
            </w:r>
            <w:r w:rsidR="009F7229">
              <w:rPr>
                <w:b/>
                <w:color w:val="FF0000"/>
              </w:rPr>
              <w:t>7184</w:t>
            </w:r>
          </w:p>
        </w:tc>
      </w:tr>
      <w:tr w:rsidR="00C8779A" w14:paraId="388A7262" w14:textId="77777777" w:rsidTr="006F6B99">
        <w:tc>
          <w:tcPr>
            <w:tcW w:w="7508" w:type="dxa"/>
          </w:tcPr>
          <w:p w14:paraId="0EE1D84B" w14:textId="77777777" w:rsidR="00C8779A" w:rsidRPr="000C3F6B" w:rsidRDefault="00C8779A" w:rsidP="00C8779A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0C3F6B">
              <w:rPr>
                <w:u w:val="single"/>
              </w:rPr>
              <w:t>Income received during the year.</w:t>
            </w:r>
          </w:p>
          <w:p w14:paraId="09336EB8" w14:textId="77777777" w:rsidR="00C8779A" w:rsidRDefault="00C8779A" w:rsidP="00C8779A">
            <w:pPr>
              <w:pStyle w:val="ListParagraph"/>
              <w:ind w:left="360"/>
            </w:pPr>
          </w:p>
        </w:tc>
        <w:tc>
          <w:tcPr>
            <w:tcW w:w="1508" w:type="dxa"/>
          </w:tcPr>
          <w:p w14:paraId="152B4889" w14:textId="13210D72" w:rsidR="00C8779A" w:rsidRDefault="00F52904" w:rsidP="00C8779A">
            <w:pPr>
              <w:jc w:val="center"/>
            </w:pPr>
            <w:r>
              <w:t>£</w:t>
            </w:r>
            <w:r w:rsidR="00CC7FA3">
              <w:t>21,723</w:t>
            </w:r>
          </w:p>
        </w:tc>
      </w:tr>
      <w:tr w:rsidR="00C8779A" w14:paraId="21879EAC" w14:textId="77777777" w:rsidTr="006F6B99">
        <w:tc>
          <w:tcPr>
            <w:tcW w:w="7508" w:type="dxa"/>
          </w:tcPr>
          <w:p w14:paraId="3252DF70" w14:textId="77777777" w:rsidR="00C8779A" w:rsidRDefault="00C8779A" w:rsidP="00C8779A">
            <w:pPr>
              <w:pStyle w:val="ListParagraph"/>
              <w:numPr>
                <w:ilvl w:val="0"/>
                <w:numId w:val="3"/>
              </w:numPr>
            </w:pPr>
            <w:r>
              <w:t xml:space="preserve">Membership </w:t>
            </w:r>
            <w:r w:rsidR="005D28DC">
              <w:t>s</w:t>
            </w:r>
            <w:r w:rsidR="000C3F6B">
              <w:t>ubscriptions</w:t>
            </w:r>
            <w:r>
              <w:t xml:space="preserve"> (</w:t>
            </w:r>
            <w:r w:rsidR="000C3F6B">
              <w:t>parliamentarians</w:t>
            </w:r>
            <w:r>
              <w:t>)</w:t>
            </w:r>
          </w:p>
          <w:p w14:paraId="30528A41" w14:textId="77777777" w:rsidR="00C8779A" w:rsidRDefault="00C8779A" w:rsidP="00C8779A"/>
        </w:tc>
        <w:tc>
          <w:tcPr>
            <w:tcW w:w="1508" w:type="dxa"/>
          </w:tcPr>
          <w:p w14:paraId="698EACCA" w14:textId="77777777" w:rsidR="00C8779A" w:rsidRDefault="00C8779A" w:rsidP="00C8779A">
            <w:pPr>
              <w:jc w:val="center"/>
            </w:pPr>
            <w:r>
              <w:t>£0</w:t>
            </w:r>
          </w:p>
        </w:tc>
      </w:tr>
      <w:tr w:rsidR="00C8779A" w14:paraId="6848F45C" w14:textId="77777777" w:rsidTr="006F6B99">
        <w:tc>
          <w:tcPr>
            <w:tcW w:w="7508" w:type="dxa"/>
          </w:tcPr>
          <w:p w14:paraId="6ADEE56D" w14:textId="77777777" w:rsidR="00C8779A" w:rsidRDefault="005D28DC" w:rsidP="00C8779A">
            <w:pPr>
              <w:pStyle w:val="ListParagraph"/>
              <w:numPr>
                <w:ilvl w:val="0"/>
                <w:numId w:val="3"/>
              </w:numPr>
            </w:pPr>
            <w:r>
              <w:t>Monetary d</w:t>
            </w:r>
            <w:r w:rsidR="00C8779A">
              <w:t xml:space="preserve">onations (including external </w:t>
            </w:r>
            <w:r w:rsidR="000C3F6B">
              <w:t>subscriptions</w:t>
            </w:r>
            <w:r w:rsidR="00C8779A">
              <w:t xml:space="preserve"> and sponsorship)</w:t>
            </w:r>
          </w:p>
          <w:p w14:paraId="0414889A" w14:textId="77777777" w:rsidR="00C8779A" w:rsidRDefault="00C8779A" w:rsidP="00C8779A">
            <w:pPr>
              <w:pStyle w:val="ListParagraph"/>
            </w:pPr>
          </w:p>
        </w:tc>
        <w:tc>
          <w:tcPr>
            <w:tcW w:w="1508" w:type="dxa"/>
          </w:tcPr>
          <w:p w14:paraId="4ADA6C1C" w14:textId="0E8B65BA" w:rsidR="00E871B0" w:rsidRDefault="00E871B0" w:rsidP="00E871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CC7FA3">
              <w:rPr>
                <w:rFonts w:ascii="Calibri" w:hAnsi="Calibri" w:cs="Calibri"/>
                <w:color w:val="000000"/>
              </w:rPr>
              <w:t>21,723</w:t>
            </w:r>
          </w:p>
          <w:p w14:paraId="1C078A14" w14:textId="43020A7F" w:rsidR="00C8779A" w:rsidRDefault="00C8779A" w:rsidP="00E871B0">
            <w:pPr>
              <w:jc w:val="center"/>
            </w:pPr>
          </w:p>
        </w:tc>
      </w:tr>
      <w:tr w:rsidR="00C8779A" w14:paraId="45457588" w14:textId="77777777" w:rsidTr="006F6B99">
        <w:tc>
          <w:tcPr>
            <w:tcW w:w="7508" w:type="dxa"/>
          </w:tcPr>
          <w:p w14:paraId="51D3581E" w14:textId="77777777" w:rsidR="00C8779A" w:rsidRDefault="00C8779A" w:rsidP="00C8779A">
            <w:pPr>
              <w:pStyle w:val="ListParagraph"/>
              <w:numPr>
                <w:ilvl w:val="0"/>
                <w:numId w:val="3"/>
              </w:numPr>
            </w:pPr>
            <w:r>
              <w:t xml:space="preserve">Trading income </w:t>
            </w:r>
          </w:p>
          <w:p w14:paraId="33E869EA" w14:textId="77777777" w:rsidR="00C8779A" w:rsidRDefault="00C8779A" w:rsidP="00C8779A"/>
        </w:tc>
        <w:tc>
          <w:tcPr>
            <w:tcW w:w="1508" w:type="dxa"/>
          </w:tcPr>
          <w:p w14:paraId="763408E0" w14:textId="77777777" w:rsidR="00C8779A" w:rsidRDefault="00C8779A" w:rsidP="00C8779A">
            <w:pPr>
              <w:jc w:val="center"/>
            </w:pPr>
            <w:r>
              <w:t>£0</w:t>
            </w:r>
          </w:p>
        </w:tc>
      </w:tr>
      <w:tr w:rsidR="00C8779A" w14:paraId="1BD5FECE" w14:textId="77777777" w:rsidTr="006F6B99">
        <w:tc>
          <w:tcPr>
            <w:tcW w:w="7508" w:type="dxa"/>
          </w:tcPr>
          <w:p w14:paraId="14BABB80" w14:textId="77777777" w:rsidR="00C8779A" w:rsidRDefault="000C3F6B" w:rsidP="00C8779A">
            <w:pPr>
              <w:pStyle w:val="ListParagraph"/>
              <w:numPr>
                <w:ilvl w:val="0"/>
                <w:numId w:val="3"/>
              </w:numPr>
            </w:pPr>
            <w:r>
              <w:t>Interest</w:t>
            </w:r>
            <w:r w:rsidR="00C8779A">
              <w:t xml:space="preserve"> received </w:t>
            </w:r>
          </w:p>
          <w:p w14:paraId="5AB7CFDA" w14:textId="77777777" w:rsidR="00C8779A" w:rsidRDefault="00C8779A" w:rsidP="00C8779A"/>
        </w:tc>
        <w:tc>
          <w:tcPr>
            <w:tcW w:w="1508" w:type="dxa"/>
          </w:tcPr>
          <w:p w14:paraId="58ADBA6E" w14:textId="77777777" w:rsidR="00C8779A" w:rsidRDefault="00C8779A" w:rsidP="00C8779A">
            <w:pPr>
              <w:jc w:val="center"/>
            </w:pPr>
            <w:r>
              <w:t>£0</w:t>
            </w:r>
          </w:p>
        </w:tc>
      </w:tr>
      <w:tr w:rsidR="00C8779A" w14:paraId="753C4E57" w14:textId="77777777" w:rsidTr="006F6B99">
        <w:tc>
          <w:tcPr>
            <w:tcW w:w="7508" w:type="dxa"/>
          </w:tcPr>
          <w:p w14:paraId="7B9CED70" w14:textId="77777777" w:rsidR="00C8779A" w:rsidRDefault="00C8779A" w:rsidP="00C8779A">
            <w:pPr>
              <w:pStyle w:val="ListParagraph"/>
              <w:numPr>
                <w:ilvl w:val="0"/>
                <w:numId w:val="3"/>
              </w:numPr>
            </w:pPr>
            <w:r>
              <w:t xml:space="preserve">Other </w:t>
            </w:r>
          </w:p>
          <w:p w14:paraId="4E4DE244" w14:textId="77777777" w:rsidR="00C8779A" w:rsidRDefault="00C8779A" w:rsidP="00C8779A">
            <w:pPr>
              <w:pStyle w:val="ListParagraph"/>
            </w:pPr>
          </w:p>
        </w:tc>
        <w:tc>
          <w:tcPr>
            <w:tcW w:w="1508" w:type="dxa"/>
          </w:tcPr>
          <w:p w14:paraId="1CEE18DB" w14:textId="77777777" w:rsidR="00C8779A" w:rsidRDefault="00C8779A" w:rsidP="00C8779A">
            <w:pPr>
              <w:jc w:val="center"/>
            </w:pPr>
            <w:r>
              <w:t>£0</w:t>
            </w:r>
          </w:p>
        </w:tc>
      </w:tr>
      <w:tr w:rsidR="00C8779A" w:rsidRPr="00C8779A" w14:paraId="3FA3C1ED" w14:textId="77777777" w:rsidTr="006F6B99">
        <w:tc>
          <w:tcPr>
            <w:tcW w:w="7508" w:type="dxa"/>
          </w:tcPr>
          <w:p w14:paraId="25965612" w14:textId="79F07990" w:rsidR="00C8779A" w:rsidRDefault="00C8779A" w:rsidP="00C8779A">
            <w:pPr>
              <w:rPr>
                <w:b/>
              </w:rPr>
            </w:pPr>
            <w:r w:rsidRPr="00C8779A">
              <w:rPr>
                <w:b/>
              </w:rPr>
              <w:t xml:space="preserve">Total income </w:t>
            </w:r>
            <w:r w:rsidR="009752CB">
              <w:rPr>
                <w:b/>
              </w:rPr>
              <w:t>and balance brought forward</w:t>
            </w:r>
            <w:r w:rsidR="00144327">
              <w:rPr>
                <w:b/>
              </w:rPr>
              <w:t>*</w:t>
            </w:r>
          </w:p>
          <w:p w14:paraId="1370AAC3" w14:textId="77777777" w:rsidR="000C3F6B" w:rsidRPr="00C8779A" w:rsidRDefault="000C3F6B" w:rsidP="00C8779A">
            <w:pPr>
              <w:rPr>
                <w:b/>
              </w:rPr>
            </w:pPr>
          </w:p>
        </w:tc>
        <w:tc>
          <w:tcPr>
            <w:tcW w:w="1508" w:type="dxa"/>
          </w:tcPr>
          <w:p w14:paraId="7A19822C" w14:textId="4834265A" w:rsidR="00C8779A" w:rsidRPr="00C8779A" w:rsidRDefault="009752CB" w:rsidP="009F7229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CC7FA3">
              <w:rPr>
                <w:b/>
              </w:rPr>
              <w:t>21,723</w:t>
            </w:r>
          </w:p>
        </w:tc>
      </w:tr>
      <w:tr w:rsidR="00C8779A" w14:paraId="44E64938" w14:textId="77777777" w:rsidTr="006F6B99">
        <w:tc>
          <w:tcPr>
            <w:tcW w:w="7508" w:type="dxa"/>
          </w:tcPr>
          <w:p w14:paraId="08538954" w14:textId="77777777" w:rsidR="00C8779A" w:rsidRPr="000C3F6B" w:rsidRDefault="00C8779A" w:rsidP="00C8779A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0C3F6B">
              <w:rPr>
                <w:u w:val="single"/>
              </w:rPr>
              <w:t>Expenditure during the year.</w:t>
            </w:r>
          </w:p>
          <w:p w14:paraId="07C80208" w14:textId="77777777" w:rsidR="00C8779A" w:rsidRDefault="00C8779A" w:rsidP="00C8779A">
            <w:pPr>
              <w:pStyle w:val="ListParagraph"/>
              <w:ind w:left="360"/>
            </w:pPr>
          </w:p>
        </w:tc>
        <w:tc>
          <w:tcPr>
            <w:tcW w:w="1508" w:type="dxa"/>
          </w:tcPr>
          <w:p w14:paraId="1F02AE52" w14:textId="77777777" w:rsidR="00C8779A" w:rsidRDefault="00C8779A" w:rsidP="00C8779A">
            <w:pPr>
              <w:jc w:val="center"/>
            </w:pPr>
          </w:p>
        </w:tc>
      </w:tr>
      <w:tr w:rsidR="00C8779A" w14:paraId="7F7B0453" w14:textId="77777777" w:rsidTr="006F6B99">
        <w:tc>
          <w:tcPr>
            <w:tcW w:w="7508" w:type="dxa"/>
          </w:tcPr>
          <w:p w14:paraId="5193C37B" w14:textId="77777777" w:rsidR="00C8779A" w:rsidRDefault="00C8779A" w:rsidP="00B04179">
            <w:pPr>
              <w:pStyle w:val="ListParagraph"/>
              <w:numPr>
                <w:ilvl w:val="0"/>
                <w:numId w:val="4"/>
              </w:numPr>
            </w:pPr>
            <w:r>
              <w:t xml:space="preserve">Employment costs (salaries, NI, pension costs) </w:t>
            </w:r>
          </w:p>
          <w:p w14:paraId="2CBF333B" w14:textId="77777777" w:rsidR="00C8779A" w:rsidRDefault="00C8779A" w:rsidP="00B04179"/>
        </w:tc>
        <w:tc>
          <w:tcPr>
            <w:tcW w:w="1508" w:type="dxa"/>
          </w:tcPr>
          <w:p w14:paraId="3E1D2757" w14:textId="77777777" w:rsidR="00C8779A" w:rsidRDefault="00C8779A" w:rsidP="00C8779A">
            <w:pPr>
              <w:jc w:val="center"/>
            </w:pPr>
            <w:r>
              <w:t>£0</w:t>
            </w:r>
          </w:p>
        </w:tc>
      </w:tr>
      <w:tr w:rsidR="00C8779A" w14:paraId="5D4FCED8" w14:textId="77777777" w:rsidTr="006F6B99">
        <w:tc>
          <w:tcPr>
            <w:tcW w:w="7508" w:type="dxa"/>
          </w:tcPr>
          <w:p w14:paraId="21093738" w14:textId="36823B6A" w:rsidR="00C8779A" w:rsidRDefault="00C8779A" w:rsidP="00D13F3F">
            <w:pPr>
              <w:pStyle w:val="ListParagraph"/>
              <w:numPr>
                <w:ilvl w:val="0"/>
                <w:numId w:val="4"/>
              </w:numPr>
            </w:pPr>
            <w:r>
              <w:t>Cost of contractors and freelance staff</w:t>
            </w:r>
            <w:r w:rsidR="006F6B99">
              <w:br/>
            </w:r>
          </w:p>
        </w:tc>
        <w:tc>
          <w:tcPr>
            <w:tcW w:w="1508" w:type="dxa"/>
          </w:tcPr>
          <w:p w14:paraId="4AC52040" w14:textId="129A811A" w:rsidR="00577533" w:rsidRDefault="00577533" w:rsidP="0057753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CC7FA3">
              <w:rPr>
                <w:rFonts w:ascii="Calibri" w:hAnsi="Calibri" w:cs="Calibri"/>
                <w:color w:val="000000"/>
              </w:rPr>
              <w:t>14,750</w:t>
            </w:r>
          </w:p>
          <w:p w14:paraId="79982852" w14:textId="49FEB9E9" w:rsidR="00C8779A" w:rsidRDefault="00C8779A" w:rsidP="00C8779A">
            <w:pPr>
              <w:jc w:val="center"/>
            </w:pPr>
          </w:p>
        </w:tc>
      </w:tr>
      <w:tr w:rsidR="00C8779A" w14:paraId="3CF5C274" w14:textId="77777777" w:rsidTr="006F6B99">
        <w:tc>
          <w:tcPr>
            <w:tcW w:w="7508" w:type="dxa"/>
          </w:tcPr>
          <w:p w14:paraId="59BF1473" w14:textId="77777777" w:rsidR="00C8779A" w:rsidRDefault="00C8779A" w:rsidP="00B04179">
            <w:pPr>
              <w:pStyle w:val="ListParagraph"/>
              <w:numPr>
                <w:ilvl w:val="0"/>
                <w:numId w:val="4"/>
              </w:numPr>
            </w:pPr>
            <w:r>
              <w:t>Visits and event (UK)</w:t>
            </w:r>
          </w:p>
          <w:p w14:paraId="128073C5" w14:textId="77777777" w:rsidR="00C8779A" w:rsidRDefault="00C8779A" w:rsidP="00B04179"/>
        </w:tc>
        <w:tc>
          <w:tcPr>
            <w:tcW w:w="1508" w:type="dxa"/>
          </w:tcPr>
          <w:p w14:paraId="772D88D7" w14:textId="55C690DB" w:rsidR="00FC09C7" w:rsidRDefault="00FC09C7" w:rsidP="00FC09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CC7FA3">
              <w:rPr>
                <w:rFonts w:ascii="Calibri" w:hAnsi="Calibri" w:cs="Calibri"/>
                <w:color w:val="000000"/>
              </w:rPr>
              <w:t>7,217.29</w:t>
            </w:r>
          </w:p>
          <w:p w14:paraId="67A4EBC5" w14:textId="77777777" w:rsidR="00C8779A" w:rsidRDefault="00C8779A" w:rsidP="00577533">
            <w:pPr>
              <w:jc w:val="center"/>
            </w:pPr>
          </w:p>
        </w:tc>
      </w:tr>
      <w:tr w:rsidR="00C8779A" w14:paraId="6B7E07AD" w14:textId="77777777" w:rsidTr="006F6B99">
        <w:tc>
          <w:tcPr>
            <w:tcW w:w="7508" w:type="dxa"/>
          </w:tcPr>
          <w:p w14:paraId="3B31A678" w14:textId="77777777" w:rsidR="00C8779A" w:rsidRDefault="00C8779A" w:rsidP="00B04179">
            <w:pPr>
              <w:pStyle w:val="ListParagraph"/>
              <w:numPr>
                <w:ilvl w:val="0"/>
                <w:numId w:val="4"/>
              </w:numPr>
            </w:pPr>
            <w:r>
              <w:t>Visits and event (abroad)</w:t>
            </w:r>
          </w:p>
          <w:p w14:paraId="7ACC2A9F" w14:textId="77777777" w:rsidR="00C8779A" w:rsidRDefault="00C8779A" w:rsidP="00B04179"/>
        </w:tc>
        <w:tc>
          <w:tcPr>
            <w:tcW w:w="1508" w:type="dxa"/>
          </w:tcPr>
          <w:p w14:paraId="058C1E96" w14:textId="77777777" w:rsidR="00C8779A" w:rsidRDefault="000C3F6B" w:rsidP="00C8779A">
            <w:pPr>
              <w:jc w:val="center"/>
            </w:pPr>
            <w:r>
              <w:t>£0</w:t>
            </w:r>
          </w:p>
        </w:tc>
      </w:tr>
      <w:tr w:rsidR="00C8779A" w14:paraId="74CE3F6E" w14:textId="77777777" w:rsidTr="006F6B99">
        <w:tc>
          <w:tcPr>
            <w:tcW w:w="7508" w:type="dxa"/>
          </w:tcPr>
          <w:p w14:paraId="5CF977F9" w14:textId="77777777" w:rsidR="00C8779A" w:rsidRDefault="005D28DC" w:rsidP="00B04179">
            <w:pPr>
              <w:pStyle w:val="ListParagraph"/>
              <w:numPr>
                <w:ilvl w:val="0"/>
                <w:numId w:val="4"/>
              </w:numPr>
            </w:pPr>
            <w:r>
              <w:t>Cost of g</w:t>
            </w:r>
            <w:r w:rsidR="00C8779A">
              <w:t xml:space="preserve">enerating income </w:t>
            </w:r>
          </w:p>
          <w:p w14:paraId="697C7CAC" w14:textId="77777777" w:rsidR="00B04179" w:rsidRDefault="00B04179" w:rsidP="000C3F6B">
            <w:pPr>
              <w:pStyle w:val="ListParagraph"/>
            </w:pPr>
          </w:p>
        </w:tc>
        <w:tc>
          <w:tcPr>
            <w:tcW w:w="1508" w:type="dxa"/>
          </w:tcPr>
          <w:p w14:paraId="67C7BDEE" w14:textId="0683802C" w:rsidR="00C8779A" w:rsidRDefault="009752CB" w:rsidP="00C8779A">
            <w:pPr>
              <w:jc w:val="center"/>
            </w:pPr>
            <w:r>
              <w:t>£</w:t>
            </w:r>
            <w:r w:rsidR="00C61D6B">
              <w:t>0</w:t>
            </w:r>
          </w:p>
        </w:tc>
      </w:tr>
      <w:tr w:rsidR="00C8779A" w14:paraId="3D0CDCDC" w14:textId="77777777" w:rsidTr="006F6B99">
        <w:tc>
          <w:tcPr>
            <w:tcW w:w="7508" w:type="dxa"/>
          </w:tcPr>
          <w:p w14:paraId="27645559" w14:textId="77777777" w:rsidR="00C8779A" w:rsidRDefault="00C8779A" w:rsidP="00B04179">
            <w:pPr>
              <w:pStyle w:val="ListParagraph"/>
              <w:numPr>
                <w:ilvl w:val="0"/>
                <w:numId w:val="4"/>
              </w:numPr>
            </w:pPr>
            <w:r>
              <w:t xml:space="preserve">Office and communication costs </w:t>
            </w:r>
          </w:p>
          <w:p w14:paraId="4F2B10DF" w14:textId="77777777" w:rsidR="00B04179" w:rsidRDefault="00B04179" w:rsidP="00B04179">
            <w:pPr>
              <w:pStyle w:val="ListParagraph"/>
            </w:pPr>
          </w:p>
        </w:tc>
        <w:tc>
          <w:tcPr>
            <w:tcW w:w="1508" w:type="dxa"/>
          </w:tcPr>
          <w:p w14:paraId="137F9359" w14:textId="2590EF9B" w:rsidR="00C8779A" w:rsidRDefault="005C1ACB" w:rsidP="00C8779A">
            <w:pPr>
              <w:jc w:val="center"/>
            </w:pPr>
            <w:r>
              <w:t>£</w:t>
            </w:r>
            <w:r w:rsidR="00CC7FA3">
              <w:t>0</w:t>
            </w:r>
          </w:p>
          <w:p w14:paraId="4233172C" w14:textId="5E4EE3A1" w:rsidR="00F013C9" w:rsidRDefault="00F013C9" w:rsidP="00C8779A">
            <w:pPr>
              <w:jc w:val="center"/>
            </w:pPr>
          </w:p>
        </w:tc>
      </w:tr>
      <w:tr w:rsidR="00C8779A" w14:paraId="748474EC" w14:textId="77777777" w:rsidTr="006F6B99">
        <w:tc>
          <w:tcPr>
            <w:tcW w:w="7508" w:type="dxa"/>
          </w:tcPr>
          <w:p w14:paraId="3181B0A6" w14:textId="77777777" w:rsidR="00C8779A" w:rsidRDefault="00C8779A" w:rsidP="00B04179">
            <w:pPr>
              <w:pStyle w:val="ListParagraph"/>
              <w:numPr>
                <w:ilvl w:val="0"/>
                <w:numId w:val="4"/>
              </w:numPr>
            </w:pPr>
            <w:r>
              <w:t xml:space="preserve">Other </w:t>
            </w:r>
          </w:p>
          <w:p w14:paraId="5762AA25" w14:textId="77777777" w:rsidR="00B04179" w:rsidRDefault="00B04179" w:rsidP="00B04179">
            <w:pPr>
              <w:pStyle w:val="ListParagraph"/>
            </w:pPr>
          </w:p>
        </w:tc>
        <w:tc>
          <w:tcPr>
            <w:tcW w:w="1508" w:type="dxa"/>
          </w:tcPr>
          <w:p w14:paraId="7F261F1C" w14:textId="77777777" w:rsidR="00C8779A" w:rsidRDefault="000C3F6B" w:rsidP="00C8779A">
            <w:pPr>
              <w:jc w:val="center"/>
            </w:pPr>
            <w:r>
              <w:t>£0</w:t>
            </w:r>
          </w:p>
        </w:tc>
      </w:tr>
      <w:tr w:rsidR="00C8779A" w14:paraId="317F6FF4" w14:textId="77777777" w:rsidTr="006F6B99">
        <w:tc>
          <w:tcPr>
            <w:tcW w:w="7508" w:type="dxa"/>
          </w:tcPr>
          <w:p w14:paraId="18867667" w14:textId="77777777" w:rsidR="00C8779A" w:rsidRPr="000C3F6B" w:rsidRDefault="00B04179" w:rsidP="00B04179">
            <w:pPr>
              <w:pStyle w:val="ListParagraph"/>
              <w:ind w:left="0"/>
              <w:rPr>
                <w:b/>
              </w:rPr>
            </w:pPr>
            <w:r w:rsidRPr="000C3F6B">
              <w:rPr>
                <w:b/>
              </w:rPr>
              <w:t xml:space="preserve">Total expenditure </w:t>
            </w:r>
          </w:p>
          <w:p w14:paraId="7978F9D9" w14:textId="77777777" w:rsidR="000C3F6B" w:rsidRPr="00B04179" w:rsidRDefault="000C3F6B" w:rsidP="00B0417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508" w:type="dxa"/>
          </w:tcPr>
          <w:p w14:paraId="06814445" w14:textId="1FE36F13" w:rsidR="0088745C" w:rsidRDefault="0088745C" w:rsidP="0088745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£</w:t>
            </w:r>
            <w:r w:rsidR="00CC7FA3">
              <w:rPr>
                <w:rFonts w:ascii="Calibri" w:hAnsi="Calibri" w:cs="Calibri"/>
                <w:color w:val="000000"/>
              </w:rPr>
              <w:t>21,967.29</w:t>
            </w:r>
          </w:p>
          <w:p w14:paraId="3115EF05" w14:textId="3B5A1658" w:rsidR="00C8779A" w:rsidRPr="000C3F6B" w:rsidRDefault="00C8779A" w:rsidP="00C8779A">
            <w:pPr>
              <w:jc w:val="center"/>
              <w:rPr>
                <w:b/>
              </w:rPr>
            </w:pPr>
          </w:p>
        </w:tc>
      </w:tr>
      <w:tr w:rsidR="00F013C9" w:rsidRPr="00F013C9" w14:paraId="1AB8AB98" w14:textId="77777777" w:rsidTr="006F6B99">
        <w:tc>
          <w:tcPr>
            <w:tcW w:w="7508" w:type="dxa"/>
          </w:tcPr>
          <w:p w14:paraId="00F6B504" w14:textId="633F42B2" w:rsidR="00C8779A" w:rsidRPr="000C3F6B" w:rsidRDefault="00B04179" w:rsidP="00C8779A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0C3F6B">
              <w:rPr>
                <w:u w:val="single"/>
              </w:rPr>
              <w:t xml:space="preserve">Balance carried </w:t>
            </w:r>
            <w:r w:rsidR="00E13891" w:rsidRPr="000C3F6B">
              <w:rPr>
                <w:u w:val="single"/>
              </w:rPr>
              <w:t>forward.</w:t>
            </w:r>
            <w:r w:rsidRPr="000C3F6B">
              <w:rPr>
                <w:u w:val="single"/>
              </w:rPr>
              <w:t xml:space="preserve"> </w:t>
            </w:r>
          </w:p>
          <w:p w14:paraId="138B17F9" w14:textId="77777777" w:rsidR="00B04179" w:rsidRDefault="00B04179" w:rsidP="00B04179">
            <w:pPr>
              <w:pStyle w:val="ListParagraph"/>
              <w:ind w:left="360"/>
            </w:pPr>
          </w:p>
        </w:tc>
        <w:tc>
          <w:tcPr>
            <w:tcW w:w="1508" w:type="dxa"/>
          </w:tcPr>
          <w:p w14:paraId="0C413D7E" w14:textId="687DDCF8" w:rsidR="0088745C" w:rsidRDefault="0088745C" w:rsidP="0088745C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-£</w:t>
            </w:r>
            <w:r w:rsidR="00CC7FA3">
              <w:rPr>
                <w:rFonts w:ascii="Calibri" w:hAnsi="Calibri" w:cs="Calibri"/>
                <w:color w:val="FF0000"/>
              </w:rPr>
              <w:t>244.29</w:t>
            </w:r>
          </w:p>
          <w:p w14:paraId="0DC39144" w14:textId="77777777" w:rsidR="00CC6315" w:rsidRDefault="00CC6315" w:rsidP="0088745C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5A2363CE" w14:textId="4AFF705E" w:rsidR="00C8779A" w:rsidRPr="00F013C9" w:rsidRDefault="00C8779A" w:rsidP="00C8779A">
            <w:pPr>
              <w:jc w:val="center"/>
              <w:rPr>
                <w:b/>
                <w:color w:val="FF0000"/>
              </w:rPr>
            </w:pPr>
          </w:p>
        </w:tc>
      </w:tr>
      <w:tr w:rsidR="00C8779A" w14:paraId="1C52A46E" w14:textId="77777777" w:rsidTr="006F6B99">
        <w:tc>
          <w:tcPr>
            <w:tcW w:w="7508" w:type="dxa"/>
          </w:tcPr>
          <w:p w14:paraId="399BA89B" w14:textId="77777777" w:rsidR="00C8779A" w:rsidRPr="000C3F6B" w:rsidRDefault="00B04179" w:rsidP="00C8779A">
            <w:pPr>
              <w:pStyle w:val="ListParagraph"/>
              <w:numPr>
                <w:ilvl w:val="0"/>
                <w:numId w:val="1"/>
              </w:numPr>
              <w:rPr>
                <w:u w:val="single"/>
              </w:rPr>
            </w:pPr>
            <w:r w:rsidRPr="000C3F6B">
              <w:rPr>
                <w:u w:val="single"/>
              </w:rPr>
              <w:t>Value of Benefits in kind</w:t>
            </w:r>
          </w:p>
          <w:p w14:paraId="23A0199A" w14:textId="77777777" w:rsidR="00B04179" w:rsidRDefault="00B04179" w:rsidP="00B04179">
            <w:pPr>
              <w:pStyle w:val="ListParagraph"/>
              <w:ind w:left="360"/>
            </w:pPr>
          </w:p>
        </w:tc>
        <w:tc>
          <w:tcPr>
            <w:tcW w:w="1508" w:type="dxa"/>
          </w:tcPr>
          <w:p w14:paraId="5002F3DF" w14:textId="77777777" w:rsidR="00C8779A" w:rsidRDefault="000C3F6B" w:rsidP="00C8779A">
            <w:pPr>
              <w:jc w:val="center"/>
            </w:pPr>
            <w:r>
              <w:t>£0</w:t>
            </w:r>
          </w:p>
        </w:tc>
      </w:tr>
    </w:tbl>
    <w:p w14:paraId="1BA62A5F" w14:textId="77777777" w:rsidR="00257C4E" w:rsidRDefault="00257C4E" w:rsidP="00706FDF"/>
    <w:p w14:paraId="397C093A" w14:textId="289FF5D1" w:rsidR="00706FDF" w:rsidRDefault="00706FDF" w:rsidP="00706FDF">
      <w:r>
        <w:t>Signed by Chair of All-Party Parliamentary Beer Group:</w:t>
      </w:r>
    </w:p>
    <w:p w14:paraId="1566CAE9" w14:textId="77777777" w:rsidR="00257C4E" w:rsidRDefault="00257C4E" w:rsidP="00706FDF"/>
    <w:p w14:paraId="667AD899" w14:textId="22A88F88" w:rsidR="00706FDF" w:rsidRDefault="00257C4E" w:rsidP="00706FDF">
      <w:r w:rsidRPr="00CC6315">
        <w:rPr>
          <w:highlight w:val="yellow"/>
        </w:rPr>
        <w:t>D</w:t>
      </w:r>
      <w:r w:rsidR="00706FDF" w:rsidRPr="00CC6315">
        <w:rPr>
          <w:highlight w:val="yellow"/>
        </w:rPr>
        <w:t>ate</w:t>
      </w:r>
    </w:p>
    <w:p w14:paraId="0453796A" w14:textId="77777777" w:rsidR="00861927" w:rsidRDefault="00861927"/>
    <w:p w14:paraId="0015F146" w14:textId="77777777" w:rsidR="00861927" w:rsidRDefault="0086192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861927" w:rsidRPr="00C52111" w14:paraId="686309EE" w14:textId="77777777" w:rsidTr="00E13891">
        <w:tc>
          <w:tcPr>
            <w:tcW w:w="1696" w:type="dxa"/>
          </w:tcPr>
          <w:p w14:paraId="64D5BFB4" w14:textId="77777777" w:rsidR="00861927" w:rsidRPr="00C91E1E" w:rsidRDefault="00861927" w:rsidP="00A5745B">
            <w:pPr>
              <w:jc w:val="center"/>
            </w:pPr>
            <w:r w:rsidRPr="00C91E1E">
              <w:t>£0 - £1500</w:t>
            </w:r>
          </w:p>
          <w:p w14:paraId="77283BD9" w14:textId="77777777" w:rsidR="00861927" w:rsidRPr="00C91E1E" w:rsidRDefault="00861927" w:rsidP="00A5745B">
            <w:pPr>
              <w:jc w:val="center"/>
            </w:pPr>
          </w:p>
        </w:tc>
        <w:tc>
          <w:tcPr>
            <w:tcW w:w="7320" w:type="dxa"/>
          </w:tcPr>
          <w:p w14:paraId="5CF171B8" w14:textId="6A2C9E95" w:rsidR="00861927" w:rsidRPr="00C91E1E" w:rsidRDefault="00E13891" w:rsidP="00E13891">
            <w:r w:rsidRPr="00C91E1E">
              <w:t xml:space="preserve">Admiral, Adnams, Amber Taverns, Barter Inns, Bateman, Batham, Bavaria, Beds and Bars, Black Sheep Brewery, Castlerock Brewery, Charles Wells, Elgood &amp; Sons, Evans Evans, Everards, Fuller, Smith &amp; Turner, Golden Lion, Gray and Son, Harvey &amp; Son, Hepworth &amp; Co, Hogs Back, Holts, Hook Norton, Hydes, Innis &amp; Gunn, J W Lees, Kurnia Group, </w:t>
            </w:r>
            <w:r w:rsidR="00282E5B" w:rsidRPr="00C91E1E">
              <w:t xml:space="preserve">Laine </w:t>
            </w:r>
            <w:r w:rsidR="00D729C9" w:rsidRPr="00C91E1E">
              <w:t xml:space="preserve">Pub Co, </w:t>
            </w:r>
            <w:r w:rsidRPr="00C91E1E">
              <w:t xml:space="preserve">Lancaster Brewery, Lincoln Green, </w:t>
            </w:r>
            <w:r w:rsidR="00D729C9" w:rsidRPr="00C91E1E">
              <w:t xml:space="preserve">Lucky Saint, </w:t>
            </w:r>
            <w:r w:rsidRPr="00C91E1E">
              <w:t>McMullen, Punch Taverns, Ramsgate, Robinsons, Rooster’s Brewery Ltd, Sambrooks, Shepherd Neame, St Austell, St Peters, Tennent Caledonian, Theakston, Thornbridge, Timothy Taylors, Titanic Brewery, Wadworth, Wye Valley, Youngs</w:t>
            </w:r>
          </w:p>
          <w:p w14:paraId="0221DE8A" w14:textId="4BBFFCA8" w:rsidR="00C52111" w:rsidRPr="00C91E1E" w:rsidRDefault="00C52111" w:rsidP="00E13891"/>
        </w:tc>
      </w:tr>
      <w:tr w:rsidR="00861927" w:rsidRPr="00C52111" w14:paraId="1EA85A15" w14:textId="77777777" w:rsidTr="00E13891">
        <w:tc>
          <w:tcPr>
            <w:tcW w:w="1696" w:type="dxa"/>
          </w:tcPr>
          <w:p w14:paraId="3A80D956" w14:textId="77777777" w:rsidR="00861927" w:rsidRPr="00EE7BC3" w:rsidRDefault="00861927" w:rsidP="00A5745B">
            <w:pPr>
              <w:jc w:val="center"/>
            </w:pPr>
            <w:r w:rsidRPr="00EE7BC3">
              <w:t>£1501 - £3000</w:t>
            </w:r>
          </w:p>
          <w:p w14:paraId="7C1E9BF8" w14:textId="77777777" w:rsidR="00861927" w:rsidRPr="00EE7BC3" w:rsidRDefault="00861927" w:rsidP="00A5745B">
            <w:pPr>
              <w:jc w:val="center"/>
            </w:pPr>
          </w:p>
        </w:tc>
        <w:tc>
          <w:tcPr>
            <w:tcW w:w="7320" w:type="dxa"/>
          </w:tcPr>
          <w:p w14:paraId="3D52703B" w14:textId="77777777" w:rsidR="00861927" w:rsidRPr="00EE7BC3" w:rsidRDefault="00861927" w:rsidP="00A5745B">
            <w:r w:rsidRPr="00EE7BC3">
              <w:t>Asahi, UK Hospitality</w:t>
            </w:r>
          </w:p>
        </w:tc>
      </w:tr>
      <w:tr w:rsidR="00861927" w14:paraId="23E853CB" w14:textId="77777777" w:rsidTr="00E13891">
        <w:tc>
          <w:tcPr>
            <w:tcW w:w="1696" w:type="dxa"/>
          </w:tcPr>
          <w:p w14:paraId="3B949884" w14:textId="77777777" w:rsidR="00861927" w:rsidRPr="00EE7BC3" w:rsidRDefault="00861927" w:rsidP="00A5745B">
            <w:pPr>
              <w:jc w:val="center"/>
            </w:pPr>
            <w:r w:rsidRPr="00EE7BC3">
              <w:t>£4501 -£6000</w:t>
            </w:r>
          </w:p>
          <w:p w14:paraId="4EABE555" w14:textId="77777777" w:rsidR="00861927" w:rsidRPr="00EE7BC3" w:rsidRDefault="00861927" w:rsidP="00A5745B">
            <w:pPr>
              <w:jc w:val="center"/>
            </w:pPr>
          </w:p>
        </w:tc>
        <w:tc>
          <w:tcPr>
            <w:tcW w:w="7320" w:type="dxa"/>
          </w:tcPr>
          <w:p w14:paraId="60FC07F0" w14:textId="77777777" w:rsidR="00861927" w:rsidRPr="00EE7BC3" w:rsidRDefault="00E13891" w:rsidP="00E13891">
            <w:r w:rsidRPr="00EE7BC3">
              <w:t>Budweiser UK, Carlsberg, Diageo, Greene King, Heineken, Marston’s, Molson Coors, Society of Independent Brewers, Stonegate</w:t>
            </w:r>
          </w:p>
          <w:p w14:paraId="465E1F6C" w14:textId="077071C3" w:rsidR="00E67E58" w:rsidRPr="00EE7BC3" w:rsidRDefault="00E67E58" w:rsidP="00E13891"/>
        </w:tc>
      </w:tr>
    </w:tbl>
    <w:p w14:paraId="6D4500DA" w14:textId="15158F16" w:rsidR="00E13891" w:rsidRDefault="00E13891" w:rsidP="00E13891">
      <w:r>
        <w:tab/>
      </w:r>
    </w:p>
    <w:sectPr w:rsidR="00E1389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A020" w14:textId="77777777" w:rsidR="00287118" w:rsidRDefault="00287118" w:rsidP="00144327">
      <w:pPr>
        <w:spacing w:after="0" w:line="240" w:lineRule="auto"/>
      </w:pPr>
      <w:r>
        <w:separator/>
      </w:r>
    </w:p>
  </w:endnote>
  <w:endnote w:type="continuationSeparator" w:id="0">
    <w:p w14:paraId="59742940" w14:textId="77777777" w:rsidR="00287118" w:rsidRDefault="00287118" w:rsidP="0014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30D3" w14:textId="46F5DF18" w:rsidR="00144327" w:rsidRDefault="00144327">
    <w:pPr>
      <w:pStyle w:val="Footer"/>
    </w:pPr>
  </w:p>
  <w:p w14:paraId="2DE6E9C3" w14:textId="77777777" w:rsidR="00144327" w:rsidRDefault="00144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B8DAB" w14:textId="77777777" w:rsidR="00287118" w:rsidRDefault="00287118" w:rsidP="00144327">
      <w:pPr>
        <w:spacing w:after="0" w:line="240" w:lineRule="auto"/>
      </w:pPr>
      <w:r>
        <w:separator/>
      </w:r>
    </w:p>
  </w:footnote>
  <w:footnote w:type="continuationSeparator" w:id="0">
    <w:p w14:paraId="52D12C54" w14:textId="77777777" w:rsidR="00287118" w:rsidRDefault="00287118" w:rsidP="0014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F47B3"/>
    <w:multiLevelType w:val="hybridMultilevel"/>
    <w:tmpl w:val="BDC606F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E0F53"/>
    <w:multiLevelType w:val="hybridMultilevel"/>
    <w:tmpl w:val="4684AE6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C59D3"/>
    <w:multiLevelType w:val="hybridMultilevel"/>
    <w:tmpl w:val="279CFDF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811FA3"/>
    <w:multiLevelType w:val="hybridMultilevel"/>
    <w:tmpl w:val="F1B436B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79A"/>
    <w:rsid w:val="000273A3"/>
    <w:rsid w:val="00082676"/>
    <w:rsid w:val="000C3F6B"/>
    <w:rsid w:val="000D0A46"/>
    <w:rsid w:val="000E1579"/>
    <w:rsid w:val="00144327"/>
    <w:rsid w:val="00163336"/>
    <w:rsid w:val="00223FE9"/>
    <w:rsid w:val="00257C4E"/>
    <w:rsid w:val="00282E5B"/>
    <w:rsid w:val="00287118"/>
    <w:rsid w:val="002A320D"/>
    <w:rsid w:val="003025DB"/>
    <w:rsid w:val="00331A96"/>
    <w:rsid w:val="0038311A"/>
    <w:rsid w:val="00386076"/>
    <w:rsid w:val="003944BC"/>
    <w:rsid w:val="003A5FFF"/>
    <w:rsid w:val="00412D11"/>
    <w:rsid w:val="00446BC4"/>
    <w:rsid w:val="004E2369"/>
    <w:rsid w:val="0053453F"/>
    <w:rsid w:val="00577533"/>
    <w:rsid w:val="005B533E"/>
    <w:rsid w:val="005C0515"/>
    <w:rsid w:val="005C1ACB"/>
    <w:rsid w:val="005D28DC"/>
    <w:rsid w:val="0063457C"/>
    <w:rsid w:val="00677849"/>
    <w:rsid w:val="00686C20"/>
    <w:rsid w:val="00690876"/>
    <w:rsid w:val="006F6B99"/>
    <w:rsid w:val="00706FDF"/>
    <w:rsid w:val="007200A2"/>
    <w:rsid w:val="00764396"/>
    <w:rsid w:val="00861927"/>
    <w:rsid w:val="0088745C"/>
    <w:rsid w:val="008A26DC"/>
    <w:rsid w:val="008B7AC7"/>
    <w:rsid w:val="009752CB"/>
    <w:rsid w:val="009B39B5"/>
    <w:rsid w:val="009F7229"/>
    <w:rsid w:val="00A42396"/>
    <w:rsid w:val="00A43D51"/>
    <w:rsid w:val="00A513EE"/>
    <w:rsid w:val="00AA1F64"/>
    <w:rsid w:val="00AC2A13"/>
    <w:rsid w:val="00B04179"/>
    <w:rsid w:val="00B16E13"/>
    <w:rsid w:val="00B97973"/>
    <w:rsid w:val="00BA3AA0"/>
    <w:rsid w:val="00BE0EB2"/>
    <w:rsid w:val="00BF5DFB"/>
    <w:rsid w:val="00C52111"/>
    <w:rsid w:val="00C61D6B"/>
    <w:rsid w:val="00C8779A"/>
    <w:rsid w:val="00C91E1E"/>
    <w:rsid w:val="00CC6315"/>
    <w:rsid w:val="00CC7FA3"/>
    <w:rsid w:val="00CE3D05"/>
    <w:rsid w:val="00D13F3F"/>
    <w:rsid w:val="00D729C9"/>
    <w:rsid w:val="00DD4CAD"/>
    <w:rsid w:val="00E13891"/>
    <w:rsid w:val="00E344AF"/>
    <w:rsid w:val="00E6296F"/>
    <w:rsid w:val="00E67E58"/>
    <w:rsid w:val="00E72E84"/>
    <w:rsid w:val="00E871B0"/>
    <w:rsid w:val="00EE7BC3"/>
    <w:rsid w:val="00EF5D59"/>
    <w:rsid w:val="00F013C9"/>
    <w:rsid w:val="00F52904"/>
    <w:rsid w:val="00F84DF0"/>
    <w:rsid w:val="00FC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823B"/>
  <w15:chartTrackingRefBased/>
  <w15:docId w15:val="{AE9F1604-3D5C-406C-A9E2-8BF73F41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77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2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8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4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327"/>
  </w:style>
  <w:style w:type="paragraph" w:styleId="Footer">
    <w:name w:val="footer"/>
    <w:basedOn w:val="Normal"/>
    <w:link w:val="FooterChar"/>
    <w:uiPriority w:val="99"/>
    <w:unhideWhenUsed/>
    <w:rsid w:val="00144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Hegarty</dc:creator>
  <cp:keywords/>
  <dc:description/>
  <cp:lastModifiedBy>Rita King</cp:lastModifiedBy>
  <cp:revision>3</cp:revision>
  <cp:lastPrinted>2022-03-29T13:16:00Z</cp:lastPrinted>
  <dcterms:created xsi:type="dcterms:W3CDTF">2024-07-26T08:43:00Z</dcterms:created>
  <dcterms:modified xsi:type="dcterms:W3CDTF">2024-07-26T11:22:00Z</dcterms:modified>
</cp:coreProperties>
</file>